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3EE2" w:rsidRPr="00E93EE2" w:rsidRDefault="00E93EE2" w:rsidP="00E93EE2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E93EE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ПАМЯТКА</w:t>
      </w:r>
    </w:p>
    <w:p w:rsidR="00144824" w:rsidRPr="00E93EE2" w:rsidRDefault="00144824" w:rsidP="0014482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 w:rsidRPr="00E93EE2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Пленум В</w:t>
      </w:r>
      <w:r w:rsidR="00E93EE2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ерховного суда</w:t>
      </w:r>
      <w:r w:rsidRPr="00E93EE2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 рассказал, как судить коррупционеров</w:t>
      </w:r>
    </w:p>
    <w:p w:rsidR="00144824" w:rsidRPr="00D506C9" w:rsidRDefault="00144824" w:rsidP="00E93EE2">
      <w:pPr>
        <w:pStyle w:val="paragraph"/>
        <w:ind w:firstLine="567"/>
        <w:jc w:val="both"/>
      </w:pPr>
      <w:r w:rsidRPr="00D506C9">
        <w:t xml:space="preserve">Пленум Верховного суда </w:t>
      </w:r>
      <w:r w:rsidR="00917BAD" w:rsidRPr="00D506C9">
        <w:t xml:space="preserve">(далее – ВС) </w:t>
      </w:r>
      <w:r w:rsidRPr="00D506C9">
        <w:t xml:space="preserve">принял дополнения в свои постановления </w:t>
      </w:r>
      <w:r w:rsidR="00E93EE2" w:rsidRPr="00D506C9">
        <w:br/>
      </w:r>
      <w:r w:rsidRPr="00D506C9">
        <w:t xml:space="preserve">по делам о взяточничестве, коррупции и превышении должностных полномочий.  Например, ВС подчеркнул, что </w:t>
      </w:r>
      <w:r w:rsidR="00917BAD" w:rsidRPr="00D506C9">
        <w:t xml:space="preserve">государственные служащие </w:t>
      </w:r>
      <w:r w:rsidRPr="00D506C9">
        <w:t>могут получать взятки электронными деньгами и цифровыми правами.</w:t>
      </w:r>
    </w:p>
    <w:p w:rsidR="00144824" w:rsidRPr="00D506C9" w:rsidRDefault="00917BAD" w:rsidP="00E93EE2">
      <w:pPr>
        <w:pStyle w:val="paragraph"/>
        <w:ind w:firstLine="567"/>
        <w:jc w:val="both"/>
        <w:rPr>
          <w:sz w:val="26"/>
          <w:szCs w:val="26"/>
        </w:rPr>
      </w:pPr>
      <w:r w:rsidRPr="00D506C9">
        <w:t>К</w:t>
      </w:r>
      <w:r w:rsidR="00144824" w:rsidRPr="00D506C9">
        <w:t xml:space="preserve">оррупционные преступления – это одна из главных угроз для безопасности страны. </w:t>
      </w:r>
      <w:r w:rsidRPr="00D506C9">
        <w:t>Т</w:t>
      </w:r>
      <w:r w:rsidR="00144824" w:rsidRPr="00D506C9">
        <w:t xml:space="preserve">акие преступления не редкость, ведь только за половину 2019 года по различным коррупционным составам осудили больше 4000 </w:t>
      </w:r>
      <w:r w:rsidRPr="00D506C9">
        <w:t>служащих.</w:t>
      </w:r>
      <w:r w:rsidR="00144824" w:rsidRPr="00D506C9">
        <w:t xml:space="preserve"> В связи с этим ВС решил актуализировать разъяснения 2009 и 2013 годов, представленные в Постановлении Пленума от 9 июля 2013 года № 24 </w:t>
      </w:r>
      <w:hyperlink r:id="rId4" w:tgtFrame="_blank" w:history="1">
        <w:r w:rsidR="00144824" w:rsidRPr="00D506C9">
          <w:t xml:space="preserve">«О судебной практике по делам о взяточничестве </w:t>
        </w:r>
        <w:r w:rsidR="00E93EE2" w:rsidRPr="00D506C9">
          <w:br/>
        </w:r>
        <w:r w:rsidR="00144824" w:rsidRPr="00D506C9">
          <w:t>и об иных коррупционных преступлениях»</w:t>
        </w:r>
      </w:hyperlink>
      <w:r w:rsidR="00144824" w:rsidRPr="00D506C9">
        <w:t xml:space="preserve"> и в Постановлении от 16 октября 2009 года </w:t>
      </w:r>
      <w:r w:rsidR="00E93EE2" w:rsidRPr="00D506C9">
        <w:br/>
      </w:r>
      <w:r w:rsidR="00144824" w:rsidRPr="00D506C9">
        <w:t xml:space="preserve">№ 19 </w:t>
      </w:r>
      <w:hyperlink r:id="rId5" w:tgtFrame="_blank" w:history="1">
        <w:r w:rsidR="00144824" w:rsidRPr="00D506C9">
          <w:t xml:space="preserve">«О судебной практике по делам о злоупотреблении должностными полномочиями </w:t>
        </w:r>
        <w:r w:rsidR="00E93EE2" w:rsidRPr="00D506C9">
          <w:br/>
        </w:r>
        <w:r w:rsidR="00144824" w:rsidRPr="00D506C9">
          <w:t>и</w:t>
        </w:r>
        <w:r w:rsidRPr="00D506C9">
          <w:t xml:space="preserve"> </w:t>
        </w:r>
        <w:r w:rsidR="00144824" w:rsidRPr="00D506C9">
          <w:t>о превышении должностных полномочий»</w:t>
        </w:r>
      </w:hyperlink>
      <w:r w:rsidR="00144824" w:rsidRPr="00D506C9">
        <w:rPr>
          <w:sz w:val="26"/>
          <w:szCs w:val="26"/>
        </w:rPr>
        <w:t>.</w:t>
      </w:r>
    </w:p>
    <w:p w:rsidR="00144824" w:rsidRPr="00D506C9" w:rsidRDefault="00144824" w:rsidP="00144824">
      <w:pPr>
        <w:pStyle w:val="3"/>
        <w:rPr>
          <w:rFonts w:ascii="Times New Roman" w:hAnsi="Times New Roman" w:cs="Times New Roman"/>
          <w:b/>
          <w:color w:val="auto"/>
          <w:sz w:val="26"/>
          <w:szCs w:val="26"/>
        </w:rPr>
      </w:pPr>
      <w:r w:rsidRPr="00D506C9">
        <w:rPr>
          <w:rFonts w:ascii="Times New Roman" w:hAnsi="Times New Roman" w:cs="Times New Roman"/>
          <w:b/>
          <w:color w:val="auto"/>
          <w:sz w:val="26"/>
          <w:szCs w:val="26"/>
        </w:rPr>
        <w:t>Электронный кошелёк для взяток</w:t>
      </w:r>
    </w:p>
    <w:p w:rsidR="00144824" w:rsidRPr="00D506C9" w:rsidRDefault="00144824" w:rsidP="005866DD">
      <w:pPr>
        <w:pStyle w:val="a3"/>
        <w:ind w:firstLine="567"/>
        <w:jc w:val="both"/>
      </w:pPr>
      <w:r w:rsidRPr="00D506C9">
        <w:t>Согласно разъяснениям Пленума ВС, предметом взяточничества (ст. 290, 291, 2911, 291.2 УК) и коммерческого подкупа (ст. 204, 204.1, 204.2 УК) наряду с деньгами, ценными бумагами, иным имуществом могут быть незаконные оказание услуг имущественного характера и предоставление имущественных прав.</w:t>
      </w:r>
    </w:p>
    <w:p w:rsidR="00144824" w:rsidRPr="00D506C9" w:rsidRDefault="00144824" w:rsidP="005866DD">
      <w:pPr>
        <w:pStyle w:val="a3"/>
        <w:ind w:firstLine="567"/>
        <w:jc w:val="both"/>
      </w:pPr>
      <w:r w:rsidRPr="00D506C9">
        <w:t>Под незаконным оказанием услуг имущественного характера ВС призывает понимать предоставление должностному лицу в качестве взятки любых имущественных выгод, в том числе освобождение его от имущественных обязательств. Например, предоставление кредита с заниженной процентной ставкой за пользование им, бесплатных туристических путевок, ремонт квартиры, строительство дачи, передача имущества, исполнение обязательств перед другими лицами. </w:t>
      </w:r>
    </w:p>
    <w:p w:rsidR="00144824" w:rsidRPr="00D506C9" w:rsidRDefault="00144824" w:rsidP="00BC7662">
      <w:pPr>
        <w:pStyle w:val="a3"/>
        <w:ind w:firstLine="567"/>
        <w:jc w:val="both"/>
      </w:pPr>
      <w:r w:rsidRPr="00D506C9">
        <w:t>Одним из видов «имущественных прав» Пленум ВС признал «цифровые права» – новинку Гражданского кодекса, которая появилась только 1 октября 2019 года. </w:t>
      </w:r>
    </w:p>
    <w:p w:rsidR="00144824" w:rsidRPr="00D506C9" w:rsidRDefault="00144824" w:rsidP="00121064">
      <w:pPr>
        <w:pStyle w:val="a3"/>
        <w:ind w:firstLine="567"/>
        <w:jc w:val="both"/>
      </w:pPr>
      <w:r w:rsidRPr="00D506C9">
        <w:t xml:space="preserve">Взятку </w:t>
      </w:r>
      <w:r w:rsidR="00917BAD" w:rsidRPr="00D506C9">
        <w:t>государственны</w:t>
      </w:r>
      <w:r w:rsidR="00917BAD" w:rsidRPr="00D506C9">
        <w:t>й</w:t>
      </w:r>
      <w:r w:rsidR="00917BAD" w:rsidRPr="00D506C9">
        <w:t xml:space="preserve"> служащи</w:t>
      </w:r>
      <w:r w:rsidR="00917BAD" w:rsidRPr="00D506C9">
        <w:t>й</w:t>
      </w:r>
      <w:r w:rsidRPr="00D506C9">
        <w:t xml:space="preserve"> </w:t>
      </w:r>
      <w:r w:rsidRPr="00D506C9">
        <w:t xml:space="preserve">может получить и на свой «электронный </w:t>
      </w:r>
      <w:r w:rsidR="00917BAD" w:rsidRPr="00D506C9">
        <w:t>кошелёк» (</w:t>
      </w:r>
      <w:r w:rsidRPr="00D506C9">
        <w:t>такой способ теперь описан в разъяснениях Пленума</w:t>
      </w:r>
      <w:r w:rsidR="00917BAD" w:rsidRPr="00D506C9">
        <w:t>)</w:t>
      </w:r>
      <w:r w:rsidRPr="00D506C9">
        <w:t>. Моментом окончания преступления в случае получения взятки на электронный кошелек будет считаться момент поступления на них денег.</w:t>
      </w:r>
    </w:p>
    <w:p w:rsidR="00144824" w:rsidRPr="00D506C9" w:rsidRDefault="00144824" w:rsidP="00144824">
      <w:pPr>
        <w:pStyle w:val="3"/>
        <w:rPr>
          <w:rFonts w:ascii="Times New Roman" w:hAnsi="Times New Roman" w:cs="Times New Roman"/>
          <w:b/>
          <w:color w:val="auto"/>
          <w:sz w:val="26"/>
          <w:szCs w:val="26"/>
        </w:rPr>
      </w:pPr>
      <w:r w:rsidRPr="00D506C9">
        <w:rPr>
          <w:rFonts w:ascii="Times New Roman" w:hAnsi="Times New Roman" w:cs="Times New Roman"/>
          <w:b/>
          <w:color w:val="auto"/>
          <w:sz w:val="26"/>
          <w:szCs w:val="26"/>
        </w:rPr>
        <w:t>Только законные и обоснованные ОРМ</w:t>
      </w:r>
    </w:p>
    <w:p w:rsidR="00144824" w:rsidRPr="00D506C9" w:rsidRDefault="00D506C9" w:rsidP="00A73161">
      <w:pPr>
        <w:pStyle w:val="a3"/>
        <w:ind w:firstLine="567"/>
        <w:jc w:val="both"/>
      </w:pPr>
      <w:hyperlink r:id="rId6" w:history="1">
        <w:r w:rsidR="00144824" w:rsidRPr="00D506C9">
          <w:t>Верховный суд</w:t>
        </w:r>
      </w:hyperlink>
      <w:r w:rsidR="00144824" w:rsidRPr="00D506C9">
        <w:t xml:space="preserve"> указал: результаты оперативно-</w:t>
      </w:r>
      <w:proofErr w:type="spellStart"/>
      <w:r w:rsidR="00144824" w:rsidRPr="00D506C9">
        <w:t>разыскного</w:t>
      </w:r>
      <w:proofErr w:type="spellEnd"/>
      <w:r w:rsidR="00144824" w:rsidRPr="00D506C9">
        <w:t xml:space="preserve"> мероприятия (ОРМ) могут быть использованы при доказывании по уголовному делу о коррупционном преступлении, если они получены законно и «свидетельствуют о наличии у лица умысла на получение или дачу взятки либо предмета коммерческого подкупа, а равно на совершение посреднических действий».</w:t>
      </w:r>
    </w:p>
    <w:p w:rsidR="00144824" w:rsidRPr="00D506C9" w:rsidRDefault="00144824" w:rsidP="00A73161">
      <w:pPr>
        <w:pStyle w:val="a3"/>
        <w:ind w:firstLine="567"/>
        <w:jc w:val="both"/>
      </w:pPr>
      <w:r w:rsidRPr="00D506C9">
        <w:t>«Умысел» на получение взятки, как подчёркивает Пленум ВС, должен сформироваться независимо от действий сотрудников органов, осуществляющих оперативно-</w:t>
      </w:r>
      <w:proofErr w:type="spellStart"/>
      <w:r w:rsidRPr="00D506C9">
        <w:t>разыскную</w:t>
      </w:r>
      <w:proofErr w:type="spellEnd"/>
      <w:r w:rsidRPr="00D506C9">
        <w:t xml:space="preserve"> деятельность.</w:t>
      </w:r>
    </w:p>
    <w:p w:rsidR="00144824" w:rsidRPr="00D506C9" w:rsidRDefault="00144824" w:rsidP="007C2D91">
      <w:pPr>
        <w:pStyle w:val="a3"/>
        <w:ind w:firstLine="567"/>
        <w:jc w:val="both"/>
      </w:pPr>
      <w:r w:rsidRPr="00D506C9">
        <w:lastRenderedPageBreak/>
        <w:t>В связи с этим для оценки доказательств, полученных в ходе осуществления ОРМ, суду, независимо от признания подсудимым своей вины, необходимо проверять законность и обоснованность проведения каждого такого оперативно-</w:t>
      </w:r>
      <w:proofErr w:type="spellStart"/>
      <w:r w:rsidRPr="00D506C9">
        <w:t>разыскного</w:t>
      </w:r>
      <w:proofErr w:type="spellEnd"/>
      <w:r w:rsidRPr="00D506C9">
        <w:t xml:space="preserve"> мероприятия.</w:t>
      </w:r>
    </w:p>
    <w:p w:rsidR="00144824" w:rsidRPr="00D506C9" w:rsidRDefault="00144824" w:rsidP="00144824">
      <w:pPr>
        <w:pStyle w:val="3"/>
        <w:rPr>
          <w:rFonts w:ascii="Times New Roman" w:hAnsi="Times New Roman" w:cs="Times New Roman"/>
          <w:b/>
          <w:color w:val="auto"/>
          <w:sz w:val="26"/>
          <w:szCs w:val="26"/>
        </w:rPr>
      </w:pPr>
      <w:r w:rsidRPr="00D506C9">
        <w:rPr>
          <w:rFonts w:ascii="Times New Roman" w:hAnsi="Times New Roman" w:cs="Times New Roman"/>
          <w:b/>
          <w:color w:val="auto"/>
          <w:sz w:val="26"/>
          <w:szCs w:val="26"/>
        </w:rPr>
        <w:t>Мошенничество или взятка?</w:t>
      </w:r>
    </w:p>
    <w:p w:rsidR="00144824" w:rsidRPr="00D506C9" w:rsidRDefault="00144824" w:rsidP="007C2D91">
      <w:pPr>
        <w:pStyle w:val="a3"/>
        <w:ind w:firstLine="567"/>
        <w:jc w:val="both"/>
      </w:pPr>
      <w:r w:rsidRPr="00D506C9">
        <w:t xml:space="preserve">Не каждая передача денег должностному лицу должна расцениваться как взятка. Например, если </w:t>
      </w:r>
      <w:r w:rsidR="00E93EE2" w:rsidRPr="00D506C9">
        <w:t>государственный служащий</w:t>
      </w:r>
      <w:r w:rsidRPr="00D506C9">
        <w:t xml:space="preserve"> </w:t>
      </w:r>
      <w:r w:rsidRPr="00D506C9">
        <w:t>взял деньги за действия, которые он не может осуществить ввиду отсутствия соответствующих служебных полномочий или должностного положения, его действия нужно квалифицировать как мошенничество, совершённое лицом с использованием своего служебного положения.</w:t>
      </w:r>
    </w:p>
    <w:p w:rsidR="00144824" w:rsidRPr="00D506C9" w:rsidRDefault="00144824" w:rsidP="007C2D91">
      <w:pPr>
        <w:pStyle w:val="a3"/>
        <w:ind w:firstLine="567"/>
        <w:jc w:val="both"/>
      </w:pPr>
      <w:r w:rsidRPr="00D506C9">
        <w:t xml:space="preserve">«Взяткодатель» в таком случае понесёт ответственность за покушение на дачу взятки или коммерческий подкуп. «При этом такое лицо не может признаваться потерпевшим </w:t>
      </w:r>
      <w:r w:rsidR="007B4250" w:rsidRPr="00D506C9">
        <w:br/>
      </w:r>
      <w:r w:rsidRPr="00D506C9">
        <w:t xml:space="preserve">и не вправе претендовать на возвращение этих ценностей, а также на возмещение вреда </w:t>
      </w:r>
      <w:r w:rsidR="007B4250" w:rsidRPr="00D506C9">
        <w:br/>
      </w:r>
      <w:r w:rsidRPr="00D506C9">
        <w:t>в случае их утраты», – разъясняет Пленум ВС.</w:t>
      </w:r>
    </w:p>
    <w:p w:rsidR="00144824" w:rsidRPr="00D506C9" w:rsidRDefault="00144824" w:rsidP="00144824">
      <w:pPr>
        <w:pStyle w:val="3"/>
        <w:rPr>
          <w:rFonts w:ascii="Times New Roman" w:hAnsi="Times New Roman" w:cs="Times New Roman"/>
          <w:b/>
          <w:color w:val="auto"/>
          <w:sz w:val="26"/>
          <w:szCs w:val="26"/>
        </w:rPr>
      </w:pPr>
      <w:r w:rsidRPr="00D506C9">
        <w:rPr>
          <w:rFonts w:ascii="Times New Roman" w:hAnsi="Times New Roman" w:cs="Times New Roman"/>
          <w:b/>
          <w:color w:val="auto"/>
          <w:sz w:val="26"/>
          <w:szCs w:val="26"/>
        </w:rPr>
        <w:t>Судить за намерения можно</w:t>
      </w:r>
    </w:p>
    <w:p w:rsidR="00144824" w:rsidRPr="00D506C9" w:rsidRDefault="00144824" w:rsidP="007B4250">
      <w:pPr>
        <w:pStyle w:val="a3"/>
        <w:ind w:firstLine="567"/>
        <w:jc w:val="both"/>
      </w:pPr>
      <w:r w:rsidRPr="00D506C9">
        <w:t xml:space="preserve">ВС подчёркивает: обещание или предложение передать либо принять незаконное вознаграждение за некие действия по службе необходимо рассматривать как умышленное создание условий для совершения соответствующих коррупционных преступлений, </w:t>
      </w:r>
      <w:r w:rsidR="007B4250" w:rsidRPr="00D506C9">
        <w:br/>
      </w:r>
      <w:r w:rsidRPr="00D506C9">
        <w:t>но в случае, когда высказанное лицом намерение передать или получить взятку либо предмет коммерческого подкупа «было направлено на доведение его до сведения других лиц в целях дачи им либо получения от них ценностей, а также в случае достижения договорённости между указанными лицами».</w:t>
      </w:r>
    </w:p>
    <w:p w:rsidR="00144824" w:rsidRPr="00D506C9" w:rsidRDefault="00144824" w:rsidP="007B4250">
      <w:pPr>
        <w:pStyle w:val="a3"/>
        <w:ind w:firstLine="567"/>
        <w:jc w:val="both"/>
      </w:pPr>
      <w:r w:rsidRPr="00D506C9">
        <w:t xml:space="preserve">Если при этом довести задуманное до конца </w:t>
      </w:r>
      <w:r w:rsidR="00E93EE2" w:rsidRPr="00D506C9">
        <w:t>не удалось,</w:t>
      </w:r>
      <w:r w:rsidRPr="00D506C9">
        <w:t xml:space="preserve"> и передача взятки </w:t>
      </w:r>
      <w:bookmarkStart w:id="0" w:name="_GoBack"/>
      <w:bookmarkEnd w:id="0"/>
      <w:r w:rsidR="006D2624" w:rsidRPr="00D506C9">
        <w:br/>
      </w:r>
      <w:r w:rsidRPr="00D506C9">
        <w:t>не состоялась, то судить участников таких договорённостей нужно по совокупности ч. 1 ст. 30 УК о приготовлении к преступлению и профильной статьи УК о взятке или подкупе.</w:t>
      </w:r>
    </w:p>
    <w:p w:rsidR="00144824" w:rsidRPr="00D506C9" w:rsidRDefault="00144824" w:rsidP="00144824">
      <w:pPr>
        <w:pStyle w:val="3"/>
        <w:rPr>
          <w:rFonts w:ascii="Times New Roman" w:hAnsi="Times New Roman" w:cs="Times New Roman"/>
          <w:b/>
          <w:color w:val="auto"/>
          <w:sz w:val="26"/>
          <w:szCs w:val="26"/>
        </w:rPr>
      </w:pPr>
      <w:r w:rsidRPr="00D506C9">
        <w:rPr>
          <w:rFonts w:ascii="Times New Roman" w:hAnsi="Times New Roman" w:cs="Times New Roman"/>
          <w:b/>
          <w:color w:val="auto"/>
          <w:sz w:val="26"/>
          <w:szCs w:val="26"/>
        </w:rPr>
        <w:t>Размер взятки</w:t>
      </w:r>
    </w:p>
    <w:p w:rsidR="00144824" w:rsidRPr="00D506C9" w:rsidRDefault="00144824" w:rsidP="007B4250">
      <w:pPr>
        <w:pStyle w:val="a3"/>
        <w:ind w:firstLine="567"/>
        <w:jc w:val="both"/>
      </w:pPr>
      <w:r w:rsidRPr="00D506C9">
        <w:t>Переданные в качестве взятки имущество, услуги и имущественные права должны получить денежную оценку, разъясняет Пленум ВС. Чтобы эту оценку составить, можно привлечь эксперта.</w:t>
      </w:r>
    </w:p>
    <w:p w:rsidR="00144824" w:rsidRPr="00D506C9" w:rsidRDefault="00144824" w:rsidP="007B4250">
      <w:pPr>
        <w:pStyle w:val="a3"/>
        <w:ind w:firstLine="567"/>
        <w:jc w:val="both"/>
      </w:pPr>
      <w:r w:rsidRPr="00D506C9">
        <w:t>Не имеет значения, смог ли коррупционер получить полный размер взятки, о которой он договорился.</w:t>
      </w:r>
    </w:p>
    <w:p w:rsidR="00144824" w:rsidRPr="00D506C9" w:rsidRDefault="00144824" w:rsidP="007B4250">
      <w:pPr>
        <w:pStyle w:val="a3"/>
        <w:ind w:firstLine="567"/>
        <w:jc w:val="both"/>
      </w:pPr>
      <w:r w:rsidRPr="00D506C9">
        <w:t xml:space="preserve">При этом размер взятки нужно оценивать, даже если получить её в полном объёме </w:t>
      </w:r>
      <w:r w:rsidR="006D2624" w:rsidRPr="00D506C9">
        <w:br/>
      </w:r>
      <w:r w:rsidRPr="00D506C9">
        <w:t>у коррупционера не получилось. Например, если стороны договорились на взятку в 150 000 руб., а передали фактически 75 000 руб., то содеянное всё равно должно квалифицироваться по п. «в» ч. 5 ст. 290 УК как крупная взятка.</w:t>
      </w:r>
    </w:p>
    <w:p w:rsidR="00601EC1" w:rsidRPr="00D506C9" w:rsidRDefault="00601EC1"/>
    <w:sectPr w:rsidR="00601EC1" w:rsidRPr="00D506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824"/>
    <w:rsid w:val="00121064"/>
    <w:rsid w:val="00144824"/>
    <w:rsid w:val="005866DD"/>
    <w:rsid w:val="00601EC1"/>
    <w:rsid w:val="006D2624"/>
    <w:rsid w:val="007B4250"/>
    <w:rsid w:val="007C2D91"/>
    <w:rsid w:val="00917BAD"/>
    <w:rsid w:val="00A73161"/>
    <w:rsid w:val="00BC7662"/>
    <w:rsid w:val="00D506C9"/>
    <w:rsid w:val="00E93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D39C3"/>
  <w15:chartTrackingRefBased/>
  <w15:docId w15:val="{2883F944-19FF-47F4-803E-4B052F5DA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4482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482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4482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4482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paragraph">
    <w:name w:val="paragraph"/>
    <w:basedOn w:val="a"/>
    <w:rsid w:val="001448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1448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4482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07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4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avo.ru/arbitr_practice/courts/119/" TargetMode="External"/><Relationship Id="rId5" Type="http://schemas.openxmlformats.org/officeDocument/2006/relationships/hyperlink" Target="http://base.garant.ru/1792859/" TargetMode="External"/><Relationship Id="rId4" Type="http://schemas.openxmlformats.org/officeDocument/2006/relationships/hyperlink" Target="http://www.vsrf.ru/documents/own/8355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770</Words>
  <Characters>4394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Бобкова Татьяна Юрьевна</dc:creator>
  <cp:keywords/>
  <dc:description/>
  <cp:lastModifiedBy>Бобкова Татьяна Юрьевна</cp:lastModifiedBy>
  <cp:revision>12</cp:revision>
  <dcterms:created xsi:type="dcterms:W3CDTF">2026-03-26T12:59:00Z</dcterms:created>
  <dcterms:modified xsi:type="dcterms:W3CDTF">2026-03-26T14:14:00Z</dcterms:modified>
</cp:coreProperties>
</file>